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附件一：</w:t>
      </w:r>
    </w:p>
    <w:p>
      <w:pPr>
        <w:jc w:val="center"/>
        <w:rPr>
          <w:rFonts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建筑与能源工程学院</w:t>
      </w:r>
    </w:p>
    <w:p>
      <w:pPr>
        <w:jc w:val="center"/>
        <w:rPr>
          <w:rFonts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2022-2023学年第二学期“优秀学生干部”和“工作积极分子”的分配规则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一、基础名额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1</w:t>
      </w:r>
      <w: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  <w:t>.</w:t>
      </w: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团支部人数1-29人1个院级优秀学生干部，1个院级工作积极分子；30-59人2个院级优秀学生干部，2个院级</w:t>
      </w:r>
      <w:bookmarkStart w:id="0" w:name="_GoBack"/>
      <w:bookmarkEnd w:id="0"/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工作积极分子。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2</w:t>
      </w:r>
      <w: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  <w:t>.</w:t>
      </w: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各院级学生组织根据人数比例进行分配。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3</w:t>
      </w:r>
      <w: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  <w:t>.</w:t>
      </w: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校级优秀学生干部由各学生组织推荐产生。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二、奖励名额评定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团委组织部根据青年大学习学习率、团日活动开展情况、团支部日常表现三方面进行评定，分别按40%，40%，20%纳入总分，根据团支部分数排名对优秀团支部给予名额奖励。</w:t>
      </w:r>
    </w:p>
    <w:p>
      <w:pPr>
        <w:jc w:val="left"/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等级评定规则如下：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排名前5%——等级1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排名前5%-25%——等级2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排名前25%-45%——等级3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排名前45%-75%——等级4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排名前75%-95%——等级5</w:t>
      </w:r>
    </w:p>
    <w:p>
      <w:pPr>
        <w:jc w:val="lef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排名前95%-100——等级6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各等级名额奖励如下：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+1个院级优秀学生干部，+1个院级工作积极分子——等级1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+1个院级优秀学生干部，+0个院级工作积极分子——等级2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+0个院级优秀学生干部，+1个院级工作积极分子——等级3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+0个院级优秀学生干部，+</w:t>
      </w: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0</w:t>
      </w: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个院级工作积极分子——等级4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+0个院级优秀学生干部，-</w:t>
      </w: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1</w:t>
      </w: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个院级工作积极分子——等级</w:t>
      </w: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5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</w:pP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-1</w:t>
      </w: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个院级优秀学生干部，-</w:t>
      </w: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0</w:t>
      </w:r>
      <w:r>
        <w:rPr>
          <w:rFonts w:hint="eastAsia" w:ascii="方正仿宋_GB2312" w:hAnsi="微软雅黑" w:eastAsia="方正仿宋_GB2312" w:cs="宋体"/>
          <w:color w:val="505050"/>
          <w:kern w:val="0"/>
          <w:sz w:val="28"/>
          <w:szCs w:val="28"/>
        </w:rPr>
        <w:t>个院级工作积极分子——等级</w:t>
      </w:r>
      <w:r>
        <w:rPr>
          <w:rFonts w:ascii="方正仿宋_GB2312" w:hAnsi="微软雅黑" w:eastAsia="方正仿宋_GB2312" w:cs="宋体"/>
          <w:color w:val="505050"/>
          <w:kern w:val="0"/>
          <w:sz w:val="28"/>
          <w:szCs w:val="28"/>
        </w:rPr>
        <w:t>6</w:t>
      </w:r>
    </w:p>
    <w:p>
      <w:pPr>
        <w:rPr>
          <w:rFonts w:ascii="方正仿宋_GB2312" w:hAnsi="微软雅黑" w:eastAsia="方正仿宋_GB2312" w:cs="宋体"/>
          <w:color w:val="FF0000"/>
          <w:kern w:val="0"/>
          <w:sz w:val="28"/>
          <w:szCs w:val="28"/>
        </w:rPr>
      </w:pPr>
      <w:r>
        <w:rPr>
          <w:rFonts w:hint="eastAsia" w:ascii="方正仿宋_GB2312" w:hAnsi="微软雅黑" w:eastAsia="方正仿宋_GB2312" w:cs="宋体"/>
          <w:color w:val="FF0000"/>
          <w:kern w:val="0"/>
          <w:sz w:val="28"/>
          <w:szCs w:val="28"/>
        </w:rPr>
        <w:t>备注：若团支部未有扣分项，但排名靠后，可评为等级4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1、分数评定规则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（1）青年大学习分数评定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根据每周校团委发布的各班青年大学习完成情况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平均完成率100%+2分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平均完成率80%-100%+1分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平均完成率低于80%不加分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由组织部每周对青年大学习情况进行分数记录。学期结束后统计青年大学习模块总分。</w:t>
      </w: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（2）团日活动开展情况评定</w:t>
      </w: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初始分数为10分，每期团日活动，根据各班上交团日活动策划案以及活动反馈情况+1-5分，推荐至校级参加团日活动评比额外加2分，在评比中获得优秀团日活动称号+5分。未开展团日活动-5分。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</w:p>
    <w:p>
      <w:pPr>
        <w:rPr>
          <w:rFonts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b/>
          <w:bCs/>
          <w:color w:val="505050"/>
          <w:kern w:val="0"/>
          <w:sz w:val="32"/>
          <w:szCs w:val="32"/>
        </w:rPr>
        <w:t>（3）团支部日常表现评定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初始分为10分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团支部积极响应学院组织活动+5分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团支部集体或个人取得重大荣誉+1-5分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对接组织部上交材料不及时-2分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未能及时完成智慧团建操作-2分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若分数相同以青年大学习评定、团日活动开展评定、团支部日常表现评定分数依次比较，分数较高者，排名靠前。</w:t>
      </w:r>
    </w:p>
    <w:p>
      <w:pP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</w:p>
    <w:p>
      <w:pPr>
        <w:jc w:val="righ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hint="eastAsia" w:ascii="方正仿宋_GB2312" w:hAnsi="微软雅黑" w:eastAsia="方正仿宋_GB2312" w:cs="宋体"/>
          <w:color w:val="505050"/>
          <w:kern w:val="0"/>
          <w:sz w:val="32"/>
          <w:szCs w:val="32"/>
        </w:rPr>
        <w:t>共青团温州理工学院建筑与能源工程学院委员会</w:t>
      </w:r>
    </w:p>
    <w:p>
      <w:pPr>
        <w:jc w:val="right"/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</w:pPr>
      <w:r>
        <w:rPr>
          <w:rFonts w:ascii="方正仿宋_GB2312" w:hAnsi="微软雅黑" w:eastAsia="方正仿宋_GB2312" w:cs="宋体"/>
          <w:color w:val="505050"/>
          <w:kern w:val="0"/>
          <w:sz w:val="32"/>
          <w:szCs w:val="32"/>
        </w:rPr>
        <w:t>2023年8月29日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ODk1Njg5OGE4ZTE4NDZjMzcxZWQ0MzllZmVlZGEifQ=="/>
  </w:docVars>
  <w:rsids>
    <w:rsidRoot w:val="0094027B"/>
    <w:rsid w:val="002B4B14"/>
    <w:rsid w:val="00316824"/>
    <w:rsid w:val="003A0343"/>
    <w:rsid w:val="005B1D50"/>
    <w:rsid w:val="007E7B56"/>
    <w:rsid w:val="0094027B"/>
    <w:rsid w:val="009D5D48"/>
    <w:rsid w:val="009E7F6F"/>
    <w:rsid w:val="00DD6201"/>
    <w:rsid w:val="00DF0E34"/>
    <w:rsid w:val="0BEC6E5E"/>
    <w:rsid w:val="1CF80D32"/>
    <w:rsid w:val="46FE59AE"/>
    <w:rsid w:val="56BB2DB0"/>
    <w:rsid w:val="6C0B66FC"/>
    <w:rsid w:val="6DB26A4B"/>
    <w:rsid w:val="7F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uiPriority w:val="0"/>
    <w:rPr>
      <w:b/>
      <w:bCs/>
      <w:kern w:val="44"/>
      <w:sz w:val="44"/>
      <w:szCs w:val="44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1619</Characters>
  <Lines>13</Lines>
  <Paragraphs>3</Paragraphs>
  <TotalTime>10</TotalTime>
  <ScaleCrop>false</ScaleCrop>
  <LinksUpToDate>false</LinksUpToDate>
  <CharactersWithSpaces>1900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2023-08-29T06:39:00Z</dcterms:created>
  <dc:creator>86150</dc:creator>
  <cp:lastModifiedBy>k</cp:lastModifiedBy>
  <dcterms:modified xsi:type="dcterms:W3CDTF">2023-08-29T08:36:09Z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FFC281D7919F40B7BCA088524B162CD1_12</vt:lpwstr>
  </property>
</Properties>
</file>